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89A" w:rsidRDefault="0038689A" w:rsidP="0038689A">
      <w:pPr>
        <w:jc w:val="center"/>
      </w:pPr>
      <w:r>
        <w:rPr>
          <w:noProof/>
        </w:rPr>
        <w:drawing>
          <wp:inline distT="0" distB="0" distL="0" distR="0">
            <wp:extent cx="3381375" cy="124777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381375" cy="1247775"/>
                    </a:xfrm>
                    <a:prstGeom prst="rect">
                      <a:avLst/>
                    </a:prstGeom>
                    <a:noFill/>
                    <a:ln w="9525">
                      <a:noFill/>
                      <a:miter lim="800000"/>
                      <a:headEnd/>
                      <a:tailEnd/>
                    </a:ln>
                  </pic:spPr>
                </pic:pic>
              </a:graphicData>
            </a:graphic>
          </wp:inline>
        </w:drawing>
      </w:r>
    </w:p>
    <w:p w:rsidR="0038689A" w:rsidRDefault="0038689A" w:rsidP="0038689A">
      <w:pPr>
        <w:jc w:val="center"/>
      </w:pPr>
    </w:p>
    <w:p w:rsidR="0038689A" w:rsidRPr="0038689A" w:rsidRDefault="0038689A" w:rsidP="0038689A">
      <w:pPr>
        <w:jc w:val="center"/>
        <w:rPr>
          <w:b/>
          <w:bCs/>
          <w:i/>
          <w:iCs/>
          <w:sz w:val="28"/>
          <w:szCs w:val="28"/>
        </w:rPr>
      </w:pPr>
    </w:p>
    <w:p w:rsidR="0038689A" w:rsidRDefault="0038689A" w:rsidP="0038689A">
      <w:pPr>
        <w:jc w:val="center"/>
        <w:rPr>
          <w:b/>
          <w:bCs/>
          <w:i/>
          <w:iCs/>
          <w:sz w:val="36"/>
          <w:szCs w:val="36"/>
        </w:rPr>
      </w:pPr>
    </w:p>
    <w:p w:rsidR="0038689A" w:rsidRDefault="0038689A" w:rsidP="0038689A">
      <w:pPr>
        <w:jc w:val="center"/>
      </w:pPr>
      <w:r>
        <w:rPr>
          <w:b/>
          <w:bCs/>
          <w:i/>
          <w:iCs/>
          <w:sz w:val="36"/>
          <w:szCs w:val="36"/>
        </w:rPr>
        <w:t>Fornitura di servizi per la misura di parametri fisici ambientali e campionamento per l'accertamento di contaminazione microbiologica.</w:t>
      </w:r>
    </w:p>
    <w:p w:rsidR="00BD2928" w:rsidRDefault="00BD2928"/>
    <w:p w:rsidR="0038689A" w:rsidRDefault="0038689A"/>
    <w:p w:rsidR="0038689A" w:rsidRDefault="0038689A"/>
    <w:p w:rsidR="0038689A" w:rsidRDefault="0038689A"/>
    <w:p w:rsidR="0038689A" w:rsidRDefault="0038689A"/>
    <w:p w:rsidR="0038689A" w:rsidRDefault="0038689A"/>
    <w:p w:rsidR="0038689A" w:rsidRDefault="0038689A"/>
    <w:p w:rsidR="0038689A" w:rsidRDefault="0038689A"/>
    <w:p w:rsidR="0038689A" w:rsidRDefault="0038689A"/>
    <w:p w:rsidR="0038689A" w:rsidRDefault="0038689A"/>
    <w:p w:rsidR="0038689A" w:rsidRDefault="0038689A"/>
    <w:p w:rsidR="0038689A" w:rsidRDefault="0038689A"/>
    <w:p w:rsidR="0038689A" w:rsidRDefault="0038689A"/>
    <w:p w:rsidR="0038689A" w:rsidRDefault="0038689A"/>
    <w:p w:rsidR="00AD0220" w:rsidRPr="00AD0220" w:rsidRDefault="00AD0220" w:rsidP="00AD0220">
      <w:pPr>
        <w:pStyle w:val="Articolo"/>
        <w:pageBreakBefore/>
        <w:numPr>
          <w:ilvl w:val="0"/>
          <w:numId w:val="1"/>
        </w:numPr>
      </w:pPr>
      <w:r w:rsidRPr="00AD0220">
        <w:rPr>
          <w:bCs/>
          <w:iCs/>
        </w:rPr>
        <w:lastRenderedPageBreak/>
        <w:t>Oggetto dell'appalto</w:t>
      </w:r>
    </w:p>
    <w:p w:rsidR="00AD0220" w:rsidRPr="00AD0220" w:rsidRDefault="00AD0220" w:rsidP="00AD0220">
      <w:pPr>
        <w:pStyle w:val="ArticoloCorpo"/>
      </w:pPr>
      <w:r w:rsidRPr="00AD0220">
        <w:t>Lo scopo dell'affidamento è la realizzazione dei controlli microbiologici e fisici nelle sale operatorie del Presidio Ospedaliero San Giovanni di Dio a Crotone, in ottemperanza alle disposizioni:</w:t>
      </w:r>
    </w:p>
    <w:p w:rsidR="00AD0220" w:rsidRPr="00AD0220" w:rsidRDefault="00AD0220" w:rsidP="00AD0220">
      <w:pPr>
        <w:pStyle w:val="ArticoloCorpo"/>
        <w:numPr>
          <w:ilvl w:val="0"/>
          <w:numId w:val="3"/>
        </w:numPr>
      </w:pPr>
      <w:r w:rsidRPr="00AD0220">
        <w:t>del D.Lgs</w:t>
      </w:r>
      <w:proofErr w:type="spellStart"/>
      <w:r w:rsidRPr="00AD0220">
        <w:t>.81/08</w:t>
      </w:r>
      <w:proofErr w:type="spellEnd"/>
      <w:r w:rsidRPr="00AD0220">
        <w:t xml:space="preserve"> e </w:t>
      </w:r>
      <w:proofErr w:type="spellStart"/>
      <w:r w:rsidRPr="00AD0220">
        <w:t>s.m.i.</w:t>
      </w:r>
      <w:proofErr w:type="spellEnd"/>
      <w:r w:rsidRPr="00AD0220">
        <w:t>, normativa vigente in materia di sicurezza ed igiene sul lavoro;</w:t>
      </w:r>
    </w:p>
    <w:p w:rsidR="00AD0220" w:rsidRPr="00AD0220" w:rsidRDefault="00AD0220" w:rsidP="00AD0220">
      <w:pPr>
        <w:pStyle w:val="ArticoloCorpo"/>
        <w:numPr>
          <w:ilvl w:val="0"/>
          <w:numId w:val="3"/>
        </w:numPr>
      </w:pPr>
      <w:r w:rsidRPr="00AD0220">
        <w:t>delle linee guida emanate dall'ISPESL con titolo “</w:t>
      </w:r>
      <w:r w:rsidRPr="00AD0220">
        <w:rPr>
          <w:i/>
          <w:iCs/>
        </w:rPr>
        <w:t>Linee guida sugli standard di sicurezza e di igiene del lavoro nel reparto operatorio</w:t>
      </w:r>
      <w:r w:rsidRPr="00AD0220">
        <w:t>”.</w:t>
      </w:r>
    </w:p>
    <w:p w:rsidR="00AD0220" w:rsidRPr="00AD0220" w:rsidRDefault="00AD0220" w:rsidP="00AD0220">
      <w:pPr>
        <w:pStyle w:val="ArticoloCorpo"/>
      </w:pPr>
      <w:r w:rsidRPr="00AD0220">
        <w:t>Di seguito sono specificati i parametri fisici e microbiologici da monitorare con cadenza semestrale.</w:t>
      </w:r>
    </w:p>
    <w:p w:rsidR="00AD0220" w:rsidRPr="00AD0220" w:rsidRDefault="00AD0220" w:rsidP="00AD0220">
      <w:pPr>
        <w:pStyle w:val="ArticoloCorpo"/>
        <w:numPr>
          <w:ilvl w:val="0"/>
          <w:numId w:val="2"/>
        </w:numPr>
      </w:pPr>
      <w:r w:rsidRPr="00AD0220">
        <w:t>Controlli fisici con la finalità di:</w:t>
      </w:r>
    </w:p>
    <w:p w:rsidR="00AD0220" w:rsidRPr="00AD0220" w:rsidRDefault="00AD0220" w:rsidP="00AD0220">
      <w:pPr>
        <w:pStyle w:val="ArticoloCorpo"/>
        <w:numPr>
          <w:ilvl w:val="1"/>
          <w:numId w:val="2"/>
        </w:numPr>
      </w:pPr>
      <w:r w:rsidRPr="00AD0220">
        <w:t xml:space="preserve">misurare i seguenti parametri microclimatici: Ta (temperatura dell'aria), Tg (temperatura </w:t>
      </w:r>
      <w:proofErr w:type="spellStart"/>
      <w:r w:rsidRPr="00AD0220">
        <w:t>globometrica</w:t>
      </w:r>
      <w:proofErr w:type="spellEnd"/>
      <w:r w:rsidRPr="00AD0220">
        <w:t xml:space="preserve">), Va (velocità dell'aria), </w:t>
      </w:r>
      <w:proofErr w:type="spellStart"/>
      <w:r w:rsidRPr="00AD0220">
        <w:t>Rh</w:t>
      </w:r>
      <w:proofErr w:type="spellEnd"/>
      <w:r w:rsidRPr="00AD0220">
        <w:t xml:space="preserve"> (umidità relativa);</w:t>
      </w:r>
    </w:p>
    <w:p w:rsidR="00AD0220" w:rsidRPr="00AD0220" w:rsidRDefault="00AD0220" w:rsidP="00AD0220">
      <w:pPr>
        <w:pStyle w:val="ArticoloCorpo"/>
        <w:numPr>
          <w:ilvl w:val="1"/>
          <w:numId w:val="2"/>
        </w:numPr>
      </w:pPr>
      <w:r w:rsidRPr="00AD0220">
        <w:t>calcolare gli indici di benessere termico: PMV (voto medio previsto) e PPD (percentuale prevedibile di insoddisfatti);</w:t>
      </w:r>
    </w:p>
    <w:p w:rsidR="00AD0220" w:rsidRPr="00AD0220" w:rsidRDefault="00AD0220" w:rsidP="00AD0220">
      <w:pPr>
        <w:pStyle w:val="ArticoloCorpo"/>
        <w:numPr>
          <w:ilvl w:val="1"/>
          <w:numId w:val="2"/>
        </w:numPr>
      </w:pPr>
      <w:r w:rsidRPr="00AD0220">
        <w:t>verificare l'efficienza degli impianti di trattamento dell'aria svolgendo misure finalizzate al calcolo del numero di ricambi d'aria nell'unità di tempo pari ad una ora.</w:t>
      </w:r>
    </w:p>
    <w:p w:rsidR="00AD0220" w:rsidRPr="00AD0220" w:rsidRDefault="00AD0220" w:rsidP="00AD0220">
      <w:pPr>
        <w:pStyle w:val="ArticoloCorpo"/>
        <w:numPr>
          <w:ilvl w:val="0"/>
          <w:numId w:val="2"/>
        </w:numPr>
      </w:pPr>
      <w:r w:rsidRPr="00AD0220">
        <w:t>controlli microbiologici eseguiti per:</w:t>
      </w:r>
    </w:p>
    <w:p w:rsidR="00AD0220" w:rsidRPr="00AD0220" w:rsidRDefault="00AD0220" w:rsidP="00AD0220">
      <w:pPr>
        <w:pStyle w:val="ArticoloCorpo"/>
        <w:numPr>
          <w:ilvl w:val="1"/>
          <w:numId w:val="2"/>
        </w:numPr>
      </w:pPr>
      <w:r w:rsidRPr="00AD0220">
        <w:t>accertamento della contaminazione sulle superfici delle sale operatorie;</w:t>
      </w:r>
    </w:p>
    <w:p w:rsidR="00AD0220" w:rsidRPr="00AD0220" w:rsidRDefault="00AD0220" w:rsidP="00AD0220">
      <w:pPr>
        <w:pStyle w:val="ArticoloCorpo"/>
        <w:numPr>
          <w:ilvl w:val="1"/>
          <w:numId w:val="2"/>
        </w:numPr>
      </w:pPr>
      <w:r w:rsidRPr="00AD0220">
        <w:t xml:space="preserve">accertamento della contaminazione microbiologica dell'aria mediante campionamento attivo su singola piastra (SAS – </w:t>
      </w:r>
      <w:proofErr w:type="spellStart"/>
      <w:r w:rsidRPr="00AD0220">
        <w:t>surface</w:t>
      </w:r>
      <w:proofErr w:type="spellEnd"/>
      <w:r w:rsidRPr="00AD0220">
        <w:t xml:space="preserve"> air system).</w:t>
      </w:r>
    </w:p>
    <w:p w:rsidR="00AD0220" w:rsidRPr="00AD0220" w:rsidRDefault="00AD0220" w:rsidP="00AD0220">
      <w:pPr>
        <w:pStyle w:val="Articolo"/>
        <w:numPr>
          <w:ilvl w:val="0"/>
          <w:numId w:val="1"/>
        </w:numPr>
      </w:pPr>
      <w:r w:rsidRPr="00AD0220">
        <w:t>Obbligo di sopralluoghi</w:t>
      </w:r>
    </w:p>
    <w:p w:rsidR="00AD0220" w:rsidRPr="00AD0220" w:rsidRDefault="00AD0220" w:rsidP="00AD0220">
      <w:pPr>
        <w:pStyle w:val="ArticoloCorpo"/>
      </w:pPr>
      <w:r w:rsidRPr="00AD0220">
        <w:t>E’ fatto obbligo a ciascuna delle imprese concorrenti, a pena di esclusione della relativa offerta, di recarsi presso la sede del Presidio Ospedaliero “</w:t>
      </w:r>
      <w:r w:rsidRPr="00AD0220">
        <w:rPr>
          <w:i/>
          <w:iCs/>
        </w:rPr>
        <w:t>San Giovanni di Dio</w:t>
      </w:r>
      <w:r w:rsidRPr="00AD0220">
        <w:t>” a Crotone,  al fine di prendere conoscenza delle condizioni dei locali, degli accessi, dell’edificio  e di tutte le circostanze generali e particolari che possono influire sull’esecuzione dell’appalto e sulla formulazione dell’offerta economica.</w:t>
      </w:r>
    </w:p>
    <w:p w:rsidR="00AD0220" w:rsidRPr="00AD0220" w:rsidRDefault="00AD0220" w:rsidP="00AD0220">
      <w:pPr>
        <w:pStyle w:val="ArticoloCorpo"/>
      </w:pPr>
      <w:r w:rsidRPr="00AD0220">
        <w:t xml:space="preserve">Le Imprese, pertanto,  sono invitate a voler preventivamente confermare la loro presenza con un preavviso di almeno due giorni contattando il </w:t>
      </w:r>
      <w:proofErr w:type="spellStart"/>
      <w:r w:rsidRPr="00AD0220">
        <w:t>geom.Paolo</w:t>
      </w:r>
      <w:proofErr w:type="spellEnd"/>
      <w:r w:rsidRPr="00AD0220">
        <w:t xml:space="preserve"> </w:t>
      </w:r>
      <w:proofErr w:type="spellStart"/>
      <w:r w:rsidRPr="00AD0220">
        <w:t>Lobono</w:t>
      </w:r>
      <w:proofErr w:type="spellEnd"/>
      <w:r w:rsidRPr="00AD0220">
        <w:rPr>
          <w:color w:val="FF0000"/>
        </w:rPr>
        <w:t xml:space="preserve"> </w:t>
      </w:r>
      <w:r w:rsidRPr="00AD0220">
        <w:t>al n. 348/1321033.</w:t>
      </w:r>
    </w:p>
    <w:p w:rsidR="00AD0220" w:rsidRPr="00AD0220" w:rsidRDefault="00AD0220" w:rsidP="00AD0220">
      <w:pPr>
        <w:pStyle w:val="ArticoloCorpo"/>
      </w:pPr>
      <w:r w:rsidRPr="00AD0220">
        <w:t xml:space="preserve">In occasione del predetto sopralluogo l’Impresa dovrà rendere e sottoscrivere in duplice copia la “Dichiarazione di avvenuto sopralluogo” che sarà controfirmata dal tecnico incaricato dall'ASP di </w:t>
      </w:r>
      <w:r w:rsidRPr="00AD0220">
        <w:lastRenderedPageBreak/>
        <w:t xml:space="preserve">Crotone. </w:t>
      </w:r>
    </w:p>
    <w:p w:rsidR="00AD0220" w:rsidRPr="00AD0220" w:rsidRDefault="00AD0220" w:rsidP="00AD0220">
      <w:pPr>
        <w:pStyle w:val="ArticoloCorpo"/>
      </w:pPr>
      <w:r w:rsidRPr="00AD0220">
        <w:t>Copia della “Dichiarazione di avvenuto sopralluogo” dovrà essere allegata alla documentazione amministrativa</w:t>
      </w:r>
      <w:r w:rsidR="00CB1770">
        <w:t>.</w:t>
      </w:r>
    </w:p>
    <w:p w:rsidR="00AD0220" w:rsidRPr="00AD0220" w:rsidRDefault="00AD0220" w:rsidP="00AD0220">
      <w:pPr>
        <w:pStyle w:val="Articolo"/>
        <w:numPr>
          <w:ilvl w:val="0"/>
          <w:numId w:val="1"/>
        </w:numPr>
      </w:pPr>
      <w:r w:rsidRPr="00AD0220">
        <w:t>Importo a base di gara</w:t>
      </w:r>
    </w:p>
    <w:p w:rsidR="00AD0220" w:rsidRPr="00AD0220" w:rsidRDefault="00AD0220" w:rsidP="00AD0220">
      <w:pPr>
        <w:pStyle w:val="ArticoloCorpo"/>
      </w:pPr>
      <w:r w:rsidRPr="00AD0220">
        <w:t>L'importo impegnato per la realizzazione dei servizi di cui all'art.1,  è pari a euro € 97.000,00 (euro novantasettemila/00) al netto di IVA e al lordo di ogni altro eventuale onere.</w:t>
      </w:r>
    </w:p>
    <w:p w:rsidR="00AD0220" w:rsidRDefault="00AD0220" w:rsidP="00AD0220">
      <w:pPr>
        <w:pStyle w:val="ArticoloCorpo"/>
      </w:pPr>
      <w:r w:rsidRPr="00AD0220">
        <w:t>A seguito di attenta valutazione dell’eventuale esistenza</w:t>
      </w:r>
      <w:r>
        <w:t xml:space="preserve"> di interferenze si è accertato che i servizi e le attività oggetto del presente appalto non producono interferenze con le attività svolte dai lavoratori del Presidio Ospedaliero. Pertanto, l’importo dei costi della sicurezza, connessi all’appalto in oggetto, necessari ad eliminare o, ove ciò non sia possibile, a ridurre al minimo i rischi da interferenze è pari a zero.</w:t>
      </w:r>
    </w:p>
    <w:p w:rsidR="00AD0220" w:rsidRDefault="00AD0220" w:rsidP="00AD0220">
      <w:pPr>
        <w:pStyle w:val="Articolo"/>
        <w:numPr>
          <w:ilvl w:val="0"/>
          <w:numId w:val="1"/>
        </w:numPr>
      </w:pPr>
      <w:r>
        <w:t>Durata</w:t>
      </w:r>
    </w:p>
    <w:p w:rsidR="00AD0220" w:rsidRDefault="00AD0220" w:rsidP="00AD0220">
      <w:pPr>
        <w:pStyle w:val="ArticoloCorpo"/>
      </w:pPr>
      <w:r>
        <w:t>Il contratto avrà durata triennale.</w:t>
      </w:r>
    </w:p>
    <w:p w:rsidR="00AD0220" w:rsidRDefault="00AD0220" w:rsidP="00AD0220">
      <w:pPr>
        <w:pStyle w:val="Articolo"/>
        <w:numPr>
          <w:ilvl w:val="0"/>
          <w:numId w:val="1"/>
        </w:numPr>
      </w:pPr>
      <w:r>
        <w:t>Luogo e modalità di esecuzione dell'appalto</w:t>
      </w:r>
    </w:p>
    <w:p w:rsidR="00AD0220" w:rsidRDefault="00AD0220" w:rsidP="00AD0220">
      <w:pPr>
        <w:pStyle w:val="ArticoloCorpo"/>
      </w:pPr>
      <w:r>
        <w:t>Le attività oggetto della presente gara saranno espletate presso la sede del Presidio Ospedaliero “San Giovanni di Dio” a Crotone.</w:t>
      </w:r>
    </w:p>
    <w:p w:rsidR="00AD0220" w:rsidRDefault="00AD0220" w:rsidP="00AD0220">
      <w:pPr>
        <w:pStyle w:val="ArticoloCorpo"/>
        <w:rPr>
          <w:b/>
          <w:bCs/>
        </w:rPr>
      </w:pPr>
      <w:r>
        <w:t>Oggetto delle indagini microclimatiche e microbiologiche sono i volumi che ospitano: la sala operatoria del reparto di oculistica, il blocco operatorio (n°5 sale operatorie) e la stanza di rianimazione. Tali indagini saranno svolte con cadenza semestrale.</w:t>
      </w:r>
    </w:p>
    <w:p w:rsidR="00AD0220" w:rsidRDefault="00AD0220" w:rsidP="00AD0220">
      <w:pPr>
        <w:pStyle w:val="ArticoloCorpo"/>
      </w:pPr>
      <w:r>
        <w:rPr>
          <w:b/>
          <w:bCs/>
        </w:rPr>
        <w:t>a) misure dei parametri microclimatici:</w:t>
      </w:r>
    </w:p>
    <w:p w:rsidR="00AD0220" w:rsidRDefault="00AD0220" w:rsidP="00AD0220">
      <w:pPr>
        <w:pStyle w:val="ArticoloCorpo"/>
      </w:pPr>
      <w:r>
        <w:t>Il monitoraggio dei parametri microclimatici viene effettuato in sala operatori durante lo svolgimento delle attività, collocando la centralina e i sensori di misura nella posizione maggiormente rappresentativa delle condizioni ambientali del campo operatorio.</w:t>
      </w:r>
    </w:p>
    <w:p w:rsidR="00AD0220" w:rsidRDefault="00AD0220" w:rsidP="00AD0220">
      <w:pPr>
        <w:pStyle w:val="ArticoloCorpo"/>
      </w:pPr>
      <w:r>
        <w:t xml:space="preserve">La totalità delle rilevazioni, in un unico evento, dei parametri microclimatici relativi a temperatura, umidità relativa, temperatura radiante, indici di benessere termico PMV e PPD (indici di </w:t>
      </w:r>
      <w:proofErr w:type="spellStart"/>
      <w:r>
        <w:t>Fanger</w:t>
      </w:r>
      <w:proofErr w:type="spellEnd"/>
      <w:r>
        <w:t>), devono essere conformi a quanto indicato dalla norma tecnica UNI EN ISO 7726:2002(98).</w:t>
      </w:r>
    </w:p>
    <w:p w:rsidR="00AD0220" w:rsidRDefault="00AD0220" w:rsidP="00AD0220">
      <w:pPr>
        <w:pStyle w:val="ArticoloCorpo"/>
        <w:rPr>
          <w:b/>
          <w:bCs/>
        </w:rPr>
      </w:pPr>
      <w:r>
        <w:t xml:space="preserve">Le misure della velocità dell'aria e della portata, per stabilire il numero dei ricambi d'aria nell'unità di tempo, verranno svolte con sala operatoria in condizioni “at </w:t>
      </w:r>
      <w:proofErr w:type="spellStart"/>
      <w:r>
        <w:t>rest</w:t>
      </w:r>
      <w:proofErr w:type="spellEnd"/>
      <w:r>
        <w:t>” (sala operatoria allestita ed in assenza di personale).</w:t>
      </w:r>
    </w:p>
    <w:p w:rsidR="00AD0220" w:rsidRDefault="00AD0220" w:rsidP="00AD0220">
      <w:pPr>
        <w:pStyle w:val="ArticoloCorpo"/>
      </w:pPr>
      <w:r>
        <w:rPr>
          <w:b/>
          <w:bCs/>
        </w:rPr>
        <w:lastRenderedPageBreak/>
        <w:t>b) attività di monitoraggio microbiologico attivo dell'aria</w:t>
      </w:r>
    </w:p>
    <w:p w:rsidR="00AD0220" w:rsidRDefault="00AD0220" w:rsidP="00AD0220">
      <w:pPr>
        <w:pStyle w:val="ArticoloCorpo"/>
      </w:pPr>
      <w:r>
        <w:t>Il servizio di monitoraggio attivo dell'aria è svolto sia in condizioni AT REST (sala operatoria allestita in assenza di personale) che OPERATIONAL (sala operatoria allestita ed in presenza di personale) e si basa sulla determinazione della carica microbica totale e sulla successiva identificazione dei ceppi microbici riferibili a specie patogene od opportuniste all'immissione dell'aria nella sala.</w:t>
      </w:r>
    </w:p>
    <w:p w:rsidR="00AD0220" w:rsidRDefault="00AD0220" w:rsidP="00AD0220">
      <w:pPr>
        <w:pStyle w:val="ArticoloCorpo"/>
        <w:rPr>
          <w:b/>
          <w:bCs/>
        </w:rPr>
      </w:pPr>
      <w:r>
        <w:t>La serie di campionamenti, come indicato nelle linee guida ISPESL 2009, deve essere effettuato al centro della sala operatoria, a livello del tavolo operatorio, a circa 1,5 m di altezza dal pavimento. Un ulteriore controllo deve essere effettuato all'immissione dell'aria in sala al fine di evidenziare ulteriori contaminazioni dovute all'ingresso di aria insalubre ponendo lo strumento a circa 30-50 cm dalle bocchette.</w:t>
      </w:r>
    </w:p>
    <w:p w:rsidR="00AD0220" w:rsidRDefault="00AD0220" w:rsidP="00AD0220">
      <w:pPr>
        <w:pStyle w:val="ArticoloCorpo"/>
      </w:pPr>
      <w:r>
        <w:rPr>
          <w:b/>
          <w:bCs/>
        </w:rPr>
        <w:t>c) attività di monitoraggio microbiologico delle superficie</w:t>
      </w:r>
    </w:p>
    <w:p w:rsidR="00AD0220" w:rsidRDefault="00AD0220" w:rsidP="00AD0220">
      <w:pPr>
        <w:pStyle w:val="ArticoloCorpo"/>
        <w:rPr>
          <w:b/>
          <w:bCs/>
        </w:rPr>
      </w:pPr>
      <w:r>
        <w:t>Il servizio di monitoraggio microbiologico per la valutazione della corretta esecuzione dei sistemi di sanificazione e disinfezione delle superfici della sala operatoria è effettuato con i campionamenti microbiologici su n.3 superfici nelle immediate vicinanze dell'area operatoria in condizioni AT REST (sala operatoria allestita ed in assenza di personale).</w:t>
      </w:r>
    </w:p>
    <w:p w:rsidR="00AD0220" w:rsidRDefault="00AD0220" w:rsidP="00AD0220">
      <w:pPr>
        <w:pStyle w:val="ArticoloCorpo"/>
      </w:pPr>
      <w:r>
        <w:rPr>
          <w:b/>
          <w:bCs/>
        </w:rPr>
        <w:t>Documentazione da produrre</w:t>
      </w:r>
    </w:p>
    <w:p w:rsidR="00AD0220" w:rsidRDefault="00AD0220" w:rsidP="00AD0220">
      <w:pPr>
        <w:pStyle w:val="ArticoloCorpo"/>
      </w:pPr>
      <w:r>
        <w:t>I risultati di tutte le prestazioni oggetto dell'incarico dovranno essere forniti all'Ente in triplice copia con relazioni, disegni, schemi, etc. idoneamente redatti e rilegati.</w:t>
      </w:r>
    </w:p>
    <w:p w:rsidR="00AD0220" w:rsidRDefault="00AD0220" w:rsidP="00AD0220">
      <w:pPr>
        <w:pStyle w:val="Articolo"/>
        <w:numPr>
          <w:ilvl w:val="0"/>
          <w:numId w:val="1"/>
        </w:numPr>
      </w:pPr>
      <w:r>
        <w:t>Requisiti di partecipazione</w:t>
      </w:r>
    </w:p>
    <w:p w:rsidR="00AD0220" w:rsidRDefault="00AD0220" w:rsidP="00AD0220">
      <w:pPr>
        <w:pStyle w:val="ArticoloCorpo"/>
        <w:rPr>
          <w:b/>
        </w:rPr>
      </w:pPr>
      <w:r>
        <w:t>Possono presentare le offerte gli operatori economici secondo quanto previsto dall’art.34 e dall’art.37 del Decreto Legislativo n°163 del 2006, da documentarsi secondo le indicazioni del bando.</w:t>
      </w:r>
    </w:p>
    <w:p w:rsidR="00AD0220" w:rsidRDefault="00AD0220" w:rsidP="00AD0220">
      <w:pPr>
        <w:pStyle w:val="Articolo"/>
        <w:numPr>
          <w:ilvl w:val="0"/>
          <w:numId w:val="1"/>
        </w:numPr>
      </w:pPr>
      <w:r>
        <w:t>Criteri di aggiudicazione</w:t>
      </w:r>
    </w:p>
    <w:p w:rsidR="00AD0220" w:rsidRDefault="00AD0220" w:rsidP="00AD0220">
      <w:pPr>
        <w:pStyle w:val="ArticoloCorpo"/>
      </w:pPr>
      <w:r>
        <w:t>La gara verrà aggiudicata all’offerta economicamente più vantaggiosa ai sensi dell’art. 83 del Decreto. Legislativo n°163 del 2006, secondo i criteri e le modalità di seguito stabilite.</w:t>
      </w:r>
    </w:p>
    <w:p w:rsidR="00AD0220" w:rsidRDefault="00AD0220" w:rsidP="00AD0220">
      <w:pPr>
        <w:pStyle w:val="ArticoloCorpo"/>
      </w:pPr>
    </w:p>
    <w:tbl>
      <w:tblPr>
        <w:tblW w:w="0" w:type="auto"/>
        <w:tblInd w:w="1187" w:type="dxa"/>
        <w:tblLayout w:type="fixed"/>
        <w:tblLook w:val="0000"/>
      </w:tblPr>
      <w:tblGrid>
        <w:gridCol w:w="3731"/>
        <w:gridCol w:w="3985"/>
      </w:tblGrid>
      <w:tr w:rsidR="00AD0220" w:rsidTr="008472FD">
        <w:trPr>
          <w:trHeight w:val="276"/>
        </w:trPr>
        <w:tc>
          <w:tcPr>
            <w:tcW w:w="3731" w:type="dxa"/>
            <w:tcBorders>
              <w:top w:val="single" w:sz="4" w:space="0" w:color="000000"/>
              <w:left w:val="single" w:sz="4" w:space="0" w:color="000000"/>
              <w:bottom w:val="single" w:sz="4" w:space="0" w:color="000000"/>
            </w:tcBorders>
            <w:shd w:val="clear" w:color="auto" w:fill="auto"/>
          </w:tcPr>
          <w:p w:rsidR="00AD0220" w:rsidRDefault="00AD0220" w:rsidP="008472FD">
            <w:pPr>
              <w:pStyle w:val="Corpodeltesto"/>
              <w:rPr>
                <w:b/>
                <w:bCs/>
                <w:sz w:val="20"/>
                <w:szCs w:val="20"/>
              </w:rPr>
            </w:pPr>
            <w:r>
              <w:rPr>
                <w:b/>
                <w:bCs/>
                <w:sz w:val="20"/>
                <w:szCs w:val="20"/>
              </w:rPr>
              <w:t xml:space="preserve">ELEMENTI </w:t>
            </w:r>
            <w:proofErr w:type="spellStart"/>
            <w:r>
              <w:rPr>
                <w:b/>
                <w:bCs/>
                <w:sz w:val="20"/>
                <w:szCs w:val="20"/>
              </w:rPr>
              <w:t>DI</w:t>
            </w:r>
            <w:proofErr w:type="spellEnd"/>
            <w:r>
              <w:rPr>
                <w:b/>
                <w:bCs/>
                <w:sz w:val="20"/>
                <w:szCs w:val="20"/>
              </w:rPr>
              <w:t xml:space="preserve"> VALUTAZIONE</w:t>
            </w:r>
          </w:p>
        </w:tc>
        <w:tc>
          <w:tcPr>
            <w:tcW w:w="3985" w:type="dxa"/>
            <w:tcBorders>
              <w:top w:val="single" w:sz="4" w:space="0" w:color="000000"/>
              <w:left w:val="single" w:sz="4" w:space="0" w:color="000000"/>
              <w:bottom w:val="single" w:sz="4" w:space="0" w:color="000000"/>
              <w:right w:val="single" w:sz="4" w:space="0" w:color="000000"/>
            </w:tcBorders>
            <w:shd w:val="clear" w:color="auto" w:fill="auto"/>
          </w:tcPr>
          <w:p w:rsidR="00AD0220" w:rsidRDefault="00AD0220" w:rsidP="008472FD">
            <w:pPr>
              <w:pStyle w:val="Corpodeltesto"/>
            </w:pPr>
            <w:r>
              <w:rPr>
                <w:b/>
                <w:bCs/>
                <w:sz w:val="20"/>
                <w:szCs w:val="20"/>
              </w:rPr>
              <w:t>PUNTEGGIO MASSIMO</w:t>
            </w:r>
          </w:p>
        </w:tc>
      </w:tr>
      <w:tr w:rsidR="00AD0220" w:rsidTr="008472FD">
        <w:trPr>
          <w:trHeight w:val="267"/>
        </w:trPr>
        <w:tc>
          <w:tcPr>
            <w:tcW w:w="3731" w:type="dxa"/>
            <w:tcBorders>
              <w:top w:val="single" w:sz="4" w:space="0" w:color="000000"/>
              <w:left w:val="single" w:sz="4" w:space="0" w:color="000000"/>
              <w:bottom w:val="single" w:sz="4" w:space="0" w:color="000000"/>
            </w:tcBorders>
            <w:shd w:val="clear" w:color="auto" w:fill="auto"/>
            <w:vAlign w:val="center"/>
          </w:tcPr>
          <w:p w:rsidR="00AD0220" w:rsidRDefault="00AD0220" w:rsidP="008472FD">
            <w:pPr>
              <w:pStyle w:val="Corpodeltesto"/>
              <w:rPr>
                <w:sz w:val="20"/>
                <w:szCs w:val="20"/>
              </w:rPr>
            </w:pPr>
            <w:r>
              <w:rPr>
                <w:sz w:val="20"/>
                <w:szCs w:val="20"/>
              </w:rPr>
              <w:t>Punteggio tecnico</w:t>
            </w:r>
          </w:p>
        </w:tc>
        <w:tc>
          <w:tcPr>
            <w:tcW w:w="3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220" w:rsidRDefault="00AD0220" w:rsidP="008472FD">
            <w:pPr>
              <w:pStyle w:val="Corpodeltesto"/>
            </w:pPr>
            <w:r>
              <w:rPr>
                <w:sz w:val="20"/>
                <w:szCs w:val="20"/>
              </w:rPr>
              <w:t>60</w:t>
            </w:r>
          </w:p>
        </w:tc>
      </w:tr>
      <w:tr w:rsidR="00AD0220" w:rsidTr="008472FD">
        <w:trPr>
          <w:trHeight w:val="412"/>
        </w:trPr>
        <w:tc>
          <w:tcPr>
            <w:tcW w:w="3731" w:type="dxa"/>
            <w:tcBorders>
              <w:top w:val="single" w:sz="4" w:space="0" w:color="000000"/>
              <w:left w:val="single" w:sz="4" w:space="0" w:color="000000"/>
              <w:bottom w:val="single" w:sz="4" w:space="0" w:color="000000"/>
            </w:tcBorders>
            <w:shd w:val="clear" w:color="auto" w:fill="auto"/>
            <w:vAlign w:val="center"/>
          </w:tcPr>
          <w:p w:rsidR="00AD0220" w:rsidRDefault="00AD0220" w:rsidP="008472FD">
            <w:pPr>
              <w:pStyle w:val="Corpodeltesto"/>
              <w:rPr>
                <w:sz w:val="20"/>
                <w:szCs w:val="20"/>
              </w:rPr>
            </w:pPr>
            <w:r>
              <w:rPr>
                <w:sz w:val="20"/>
                <w:szCs w:val="20"/>
              </w:rPr>
              <w:t>Punteggio economico</w:t>
            </w:r>
          </w:p>
        </w:tc>
        <w:tc>
          <w:tcPr>
            <w:tcW w:w="3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220" w:rsidRDefault="00AD0220" w:rsidP="008472FD">
            <w:pPr>
              <w:pStyle w:val="Corpodeltesto"/>
            </w:pPr>
            <w:r>
              <w:rPr>
                <w:sz w:val="20"/>
                <w:szCs w:val="20"/>
              </w:rPr>
              <w:t>40</w:t>
            </w:r>
          </w:p>
        </w:tc>
      </w:tr>
      <w:tr w:rsidR="00AD0220" w:rsidTr="008472FD">
        <w:trPr>
          <w:trHeight w:val="366"/>
        </w:trPr>
        <w:tc>
          <w:tcPr>
            <w:tcW w:w="3731" w:type="dxa"/>
            <w:tcBorders>
              <w:left w:val="single" w:sz="4" w:space="0" w:color="000000"/>
              <w:bottom w:val="single" w:sz="4" w:space="0" w:color="000000"/>
            </w:tcBorders>
            <w:shd w:val="clear" w:color="auto" w:fill="auto"/>
            <w:vAlign w:val="center"/>
          </w:tcPr>
          <w:p w:rsidR="00AD0220" w:rsidRDefault="00AD0220" w:rsidP="008472FD">
            <w:pPr>
              <w:pStyle w:val="Corpodeltesto"/>
              <w:rPr>
                <w:sz w:val="20"/>
                <w:szCs w:val="20"/>
              </w:rPr>
            </w:pPr>
            <w:r>
              <w:rPr>
                <w:sz w:val="20"/>
                <w:szCs w:val="20"/>
              </w:rPr>
              <w:t>Punteggio  complessivo (PT)</w:t>
            </w:r>
          </w:p>
        </w:tc>
        <w:tc>
          <w:tcPr>
            <w:tcW w:w="3985" w:type="dxa"/>
            <w:tcBorders>
              <w:left w:val="single" w:sz="4" w:space="0" w:color="000000"/>
              <w:bottom w:val="single" w:sz="4" w:space="0" w:color="000000"/>
              <w:right w:val="single" w:sz="4" w:space="0" w:color="000000"/>
            </w:tcBorders>
            <w:shd w:val="clear" w:color="auto" w:fill="auto"/>
            <w:vAlign w:val="center"/>
          </w:tcPr>
          <w:p w:rsidR="00AD0220" w:rsidRDefault="00AD0220" w:rsidP="008472FD">
            <w:pPr>
              <w:pStyle w:val="Corpodeltesto"/>
            </w:pPr>
            <w:r>
              <w:rPr>
                <w:sz w:val="20"/>
                <w:szCs w:val="20"/>
              </w:rPr>
              <w:t>100</w:t>
            </w:r>
          </w:p>
        </w:tc>
      </w:tr>
    </w:tbl>
    <w:p w:rsidR="00AD0220" w:rsidRDefault="00AD0220" w:rsidP="00AD0220">
      <w:pPr>
        <w:pStyle w:val="ArticoloCorpo"/>
      </w:pPr>
      <w:r>
        <w:rPr>
          <w:b/>
          <w:bCs/>
        </w:rPr>
        <w:lastRenderedPageBreak/>
        <w:t>a) prezzo</w:t>
      </w:r>
    </w:p>
    <w:p w:rsidR="00AD0220" w:rsidRDefault="00AD0220" w:rsidP="00AD0220">
      <w:pPr>
        <w:pStyle w:val="ArticoloCorpo"/>
      </w:pPr>
      <w:r>
        <w:t>Al prezzo più basso sono assegnati 40/100 punti. Ai prezzi superiori sarà assegnato un punteggio tra 0 e 40 in modo proporzionale alla differenza di prezzo secondo la seguente formula:</w:t>
      </w:r>
    </w:p>
    <w:p w:rsidR="00AD0220" w:rsidRDefault="00AD0220" w:rsidP="00AD0220">
      <w:pPr>
        <w:pStyle w:val="ArticoloCorpo"/>
      </w:pPr>
      <w:r>
        <w:t xml:space="preserve">                                                       </w:t>
      </w:r>
      <w:r>
        <w:object w:dxaOrig="1607" w:dyaOrig="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28.5pt" o:ole="" filled="t">
            <v:fill color2="black"/>
            <v:imagedata r:id="rId7" o:title=""/>
          </v:shape>
          <o:OLEObject Type="Embed" ProgID="Equation.3" ShapeID="_x0000_i1025" DrawAspect="Content" ObjectID="_1449322435" r:id="rId8"/>
        </w:object>
      </w:r>
      <w:r>
        <w:t xml:space="preserve">  </w:t>
      </w:r>
    </w:p>
    <w:p w:rsidR="00AD0220" w:rsidRDefault="00AD0220" w:rsidP="00AD0220">
      <w:pPr>
        <w:pStyle w:val="ArticoloCorpo"/>
      </w:pPr>
      <w:r>
        <w:t>OB = offerta più bassa</w:t>
      </w:r>
    </w:p>
    <w:p w:rsidR="00AD0220" w:rsidRDefault="00AD0220" w:rsidP="00AD0220">
      <w:pPr>
        <w:pStyle w:val="ArticoloCorpo"/>
      </w:pPr>
      <w:r>
        <w:t>OY = offerta da confrontare</w:t>
      </w:r>
    </w:p>
    <w:p w:rsidR="00AD0220" w:rsidRDefault="00AD0220" w:rsidP="00AD0220">
      <w:pPr>
        <w:pStyle w:val="ArticoloCorpo"/>
        <w:rPr>
          <w:b/>
          <w:bCs/>
        </w:rPr>
      </w:pPr>
      <w:r>
        <w:t>POY = punteggio da attribuire all'offerta confrontata.</w:t>
      </w:r>
    </w:p>
    <w:p w:rsidR="00AD0220" w:rsidRDefault="00AD0220" w:rsidP="00AD0220">
      <w:pPr>
        <w:pStyle w:val="ArticoloCorpo"/>
      </w:pPr>
      <w:r>
        <w:rPr>
          <w:b/>
          <w:bCs/>
        </w:rPr>
        <w:t>b) qualità/soluzioni tecniche</w:t>
      </w:r>
    </w:p>
    <w:p w:rsidR="00AD0220" w:rsidRDefault="00AD0220" w:rsidP="00AD0220">
      <w:pPr>
        <w:pStyle w:val="ArticoloCorpo"/>
      </w:pPr>
      <w:r>
        <w:t>Nella seguente tabella viene indicata la ripartizione del punteggio tecnico massimo di 60 punti relativo al criterio tecnico “organizzazione per  lo sviluppo del servizio ” (PT) in singole voci.</w:t>
      </w:r>
    </w:p>
    <w:p w:rsidR="00AD0220" w:rsidRDefault="00AD0220" w:rsidP="00AD0220">
      <w:pPr>
        <w:pStyle w:val="ArticoloCorpo"/>
      </w:pPr>
      <w:r>
        <w:t>Il punteggio complessivo dell’offerta tecnica sarà dato dalla somma dei punteggi ottenuti per ciascun dei sub-criteri relativi alla singola offerta.</w:t>
      </w:r>
    </w:p>
    <w:p w:rsidR="00AD0220" w:rsidRDefault="00AD0220" w:rsidP="00AD0220">
      <w:pPr>
        <w:pStyle w:val="ArticoloCorpo"/>
        <w:rPr>
          <w:b/>
          <w:bCs/>
        </w:rPr>
      </w:pPr>
      <w:r>
        <w:t>Per i sub-criteri relativi ad elementi qualitativi di valutazione  verrà attribuito un coefficiente compreso tra 0 e 1 sulla seguente scala graduata di preferenze:</w:t>
      </w:r>
    </w:p>
    <w:tbl>
      <w:tblPr>
        <w:tblW w:w="0" w:type="auto"/>
        <w:tblInd w:w="1921" w:type="dxa"/>
        <w:tblLayout w:type="fixed"/>
        <w:tblCellMar>
          <w:top w:w="55" w:type="dxa"/>
          <w:left w:w="55" w:type="dxa"/>
          <w:bottom w:w="55" w:type="dxa"/>
          <w:right w:w="55" w:type="dxa"/>
        </w:tblCellMar>
        <w:tblLook w:val="0000"/>
      </w:tblPr>
      <w:tblGrid>
        <w:gridCol w:w="2953"/>
        <w:gridCol w:w="2438"/>
      </w:tblGrid>
      <w:tr w:rsidR="00AD0220" w:rsidTr="008472FD">
        <w:tc>
          <w:tcPr>
            <w:tcW w:w="2953" w:type="dxa"/>
            <w:tcBorders>
              <w:top w:val="none" w:sz="1" w:space="0" w:color="000000"/>
              <w:left w:val="none" w:sz="1" w:space="0" w:color="000000"/>
              <w:bottom w:val="none" w:sz="1" w:space="0" w:color="000000"/>
            </w:tcBorders>
            <w:shd w:val="clear" w:color="auto" w:fill="auto"/>
          </w:tcPr>
          <w:p w:rsidR="00AD0220" w:rsidRDefault="00AD0220" w:rsidP="008472FD">
            <w:pPr>
              <w:pStyle w:val="Contenutotabella"/>
              <w:jc w:val="center"/>
              <w:rPr>
                <w:b/>
                <w:bCs/>
              </w:rPr>
            </w:pPr>
            <w:r>
              <w:rPr>
                <w:b/>
                <w:bCs/>
              </w:rPr>
              <w:t>Giudizio</w:t>
            </w:r>
          </w:p>
        </w:tc>
        <w:tc>
          <w:tcPr>
            <w:tcW w:w="2438" w:type="dxa"/>
            <w:tcBorders>
              <w:top w:val="none" w:sz="1" w:space="0" w:color="000000"/>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rPr>
              <w:t>Coefficiente</w:t>
            </w:r>
          </w:p>
        </w:tc>
      </w:tr>
      <w:tr w:rsidR="00AD0220" w:rsidTr="008472FD">
        <w:tc>
          <w:tcPr>
            <w:tcW w:w="2953" w:type="dxa"/>
            <w:tcBorders>
              <w:left w:val="none" w:sz="1" w:space="0" w:color="000000"/>
              <w:bottom w:val="none" w:sz="1" w:space="0" w:color="000000"/>
            </w:tcBorders>
            <w:shd w:val="clear" w:color="auto" w:fill="auto"/>
          </w:tcPr>
          <w:p w:rsidR="00AD0220" w:rsidRDefault="00AD0220" w:rsidP="008472FD">
            <w:pPr>
              <w:pStyle w:val="Contenutotabella"/>
              <w:jc w:val="both"/>
            </w:pPr>
            <w:r>
              <w:t>Ottimo</w:t>
            </w:r>
          </w:p>
        </w:tc>
        <w:tc>
          <w:tcPr>
            <w:tcW w:w="2438"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1</w:t>
            </w:r>
          </w:p>
        </w:tc>
      </w:tr>
      <w:tr w:rsidR="00AD0220" w:rsidTr="008472FD">
        <w:tc>
          <w:tcPr>
            <w:tcW w:w="2953" w:type="dxa"/>
            <w:tcBorders>
              <w:left w:val="none" w:sz="1" w:space="0" w:color="000000"/>
              <w:bottom w:val="none" w:sz="1" w:space="0" w:color="000000"/>
            </w:tcBorders>
            <w:shd w:val="clear" w:color="auto" w:fill="auto"/>
          </w:tcPr>
          <w:p w:rsidR="00AD0220" w:rsidRDefault="00AD0220" w:rsidP="008472FD">
            <w:pPr>
              <w:pStyle w:val="Contenutotabella"/>
              <w:jc w:val="both"/>
            </w:pPr>
            <w:r>
              <w:t>Buono</w:t>
            </w:r>
          </w:p>
        </w:tc>
        <w:tc>
          <w:tcPr>
            <w:tcW w:w="2438"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0,80</w:t>
            </w:r>
          </w:p>
        </w:tc>
      </w:tr>
      <w:tr w:rsidR="00AD0220" w:rsidTr="008472FD">
        <w:tc>
          <w:tcPr>
            <w:tcW w:w="2953" w:type="dxa"/>
            <w:tcBorders>
              <w:left w:val="none" w:sz="1" w:space="0" w:color="000000"/>
              <w:bottom w:val="none" w:sz="1" w:space="0" w:color="000000"/>
            </w:tcBorders>
            <w:shd w:val="clear" w:color="auto" w:fill="auto"/>
          </w:tcPr>
          <w:p w:rsidR="00AD0220" w:rsidRDefault="00AD0220" w:rsidP="008472FD">
            <w:pPr>
              <w:pStyle w:val="Contenutotabella"/>
              <w:jc w:val="both"/>
            </w:pPr>
            <w:r>
              <w:t>Discreto</w:t>
            </w:r>
          </w:p>
        </w:tc>
        <w:tc>
          <w:tcPr>
            <w:tcW w:w="2438"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0,70</w:t>
            </w:r>
          </w:p>
        </w:tc>
      </w:tr>
      <w:tr w:rsidR="00AD0220" w:rsidTr="008472FD">
        <w:tc>
          <w:tcPr>
            <w:tcW w:w="2953" w:type="dxa"/>
            <w:tcBorders>
              <w:left w:val="none" w:sz="1" w:space="0" w:color="000000"/>
              <w:bottom w:val="none" w:sz="1" w:space="0" w:color="000000"/>
            </w:tcBorders>
            <w:shd w:val="clear" w:color="auto" w:fill="auto"/>
          </w:tcPr>
          <w:p w:rsidR="00AD0220" w:rsidRDefault="00AD0220" w:rsidP="008472FD">
            <w:pPr>
              <w:pStyle w:val="Contenutotabella"/>
              <w:jc w:val="both"/>
            </w:pPr>
            <w:r>
              <w:t>Sufficiente</w:t>
            </w:r>
          </w:p>
        </w:tc>
        <w:tc>
          <w:tcPr>
            <w:tcW w:w="2438"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0,60</w:t>
            </w:r>
          </w:p>
        </w:tc>
      </w:tr>
      <w:tr w:rsidR="00AD0220" w:rsidTr="008472FD">
        <w:tc>
          <w:tcPr>
            <w:tcW w:w="2953" w:type="dxa"/>
            <w:tcBorders>
              <w:left w:val="none" w:sz="1" w:space="0" w:color="000000"/>
              <w:bottom w:val="none" w:sz="1" w:space="0" w:color="000000"/>
            </w:tcBorders>
            <w:shd w:val="clear" w:color="auto" w:fill="auto"/>
          </w:tcPr>
          <w:p w:rsidR="00AD0220" w:rsidRDefault="00AD0220" w:rsidP="008472FD">
            <w:pPr>
              <w:pStyle w:val="Contenutotabella"/>
              <w:jc w:val="both"/>
            </w:pPr>
            <w:r>
              <w:t>Scarso</w:t>
            </w:r>
          </w:p>
        </w:tc>
        <w:tc>
          <w:tcPr>
            <w:tcW w:w="2438"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0,40</w:t>
            </w:r>
          </w:p>
        </w:tc>
      </w:tr>
      <w:tr w:rsidR="00AD0220" w:rsidTr="008472FD">
        <w:tc>
          <w:tcPr>
            <w:tcW w:w="2953" w:type="dxa"/>
            <w:tcBorders>
              <w:left w:val="none" w:sz="1" w:space="0" w:color="000000"/>
              <w:bottom w:val="none" w:sz="1" w:space="0" w:color="000000"/>
            </w:tcBorders>
            <w:shd w:val="clear" w:color="auto" w:fill="auto"/>
          </w:tcPr>
          <w:p w:rsidR="00AD0220" w:rsidRDefault="00AD0220" w:rsidP="008472FD">
            <w:pPr>
              <w:pStyle w:val="Contenutotabella"/>
              <w:jc w:val="both"/>
            </w:pPr>
            <w:r>
              <w:t>Insufficiente</w:t>
            </w:r>
          </w:p>
        </w:tc>
        <w:tc>
          <w:tcPr>
            <w:tcW w:w="2438"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0,25</w:t>
            </w:r>
          </w:p>
        </w:tc>
      </w:tr>
    </w:tbl>
    <w:p w:rsidR="00AD0220" w:rsidRDefault="00AD0220" w:rsidP="00AD0220">
      <w:pPr>
        <w:autoSpaceDE w:val="0"/>
        <w:jc w:val="both"/>
        <w:rPr>
          <w:color w:val="FF0000"/>
        </w:rPr>
      </w:pPr>
    </w:p>
    <w:p w:rsidR="00AD0220" w:rsidRDefault="00AD0220" w:rsidP="00AD0220">
      <w:pPr>
        <w:pStyle w:val="ArticoloCorpo"/>
        <w:rPr>
          <w:b/>
          <w:bCs/>
        </w:rPr>
      </w:pPr>
      <w:r>
        <w:t>Il punteggio per ciascun sub-criterio sarà ottenuto moltiplicando il coefficiente per il corrispondente valore massimo.</w:t>
      </w:r>
    </w:p>
    <w:tbl>
      <w:tblPr>
        <w:tblW w:w="0" w:type="auto"/>
        <w:tblInd w:w="702" w:type="dxa"/>
        <w:tblLayout w:type="fixed"/>
        <w:tblCellMar>
          <w:top w:w="55" w:type="dxa"/>
          <w:left w:w="55" w:type="dxa"/>
          <w:bottom w:w="55" w:type="dxa"/>
          <w:right w:w="55" w:type="dxa"/>
        </w:tblCellMar>
        <w:tblLook w:val="0000"/>
      </w:tblPr>
      <w:tblGrid>
        <w:gridCol w:w="6853"/>
        <w:gridCol w:w="1622"/>
      </w:tblGrid>
      <w:tr w:rsidR="00AD0220" w:rsidTr="008472FD">
        <w:tc>
          <w:tcPr>
            <w:tcW w:w="6853" w:type="dxa"/>
            <w:tcBorders>
              <w:top w:val="none" w:sz="1" w:space="0" w:color="000000"/>
              <w:left w:val="none" w:sz="1" w:space="0" w:color="000000"/>
              <w:bottom w:val="none" w:sz="1" w:space="0" w:color="000000"/>
            </w:tcBorders>
            <w:shd w:val="clear" w:color="auto" w:fill="auto"/>
          </w:tcPr>
          <w:p w:rsidR="00AD0220" w:rsidRDefault="00AD0220" w:rsidP="008472FD">
            <w:pPr>
              <w:pStyle w:val="Contenutotabella"/>
              <w:jc w:val="center"/>
              <w:rPr>
                <w:b/>
                <w:bCs/>
              </w:rPr>
            </w:pPr>
            <w:r>
              <w:rPr>
                <w:b/>
                <w:bCs/>
              </w:rPr>
              <w:t>Descrizione</w:t>
            </w:r>
          </w:p>
        </w:tc>
        <w:tc>
          <w:tcPr>
            <w:tcW w:w="1622" w:type="dxa"/>
            <w:tcBorders>
              <w:top w:val="none" w:sz="1" w:space="0" w:color="000000"/>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rPr>
              <w:t>Punteggio</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jc w:val="both"/>
            </w:pPr>
            <w:r>
              <w:rPr>
                <w:b/>
                <w:bCs/>
                <w:i/>
                <w:iCs/>
              </w:rPr>
              <w:t>Qualità del metodo di gestione</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autoSpaceDE w:val="0"/>
              <w:jc w:val="both"/>
            </w:pPr>
            <w:r>
              <w:t>Esaustività dei metodi di analisi dei certificati prodotti dai tecnici.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7</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autoSpaceDE w:val="0"/>
              <w:jc w:val="both"/>
            </w:pPr>
            <w:r>
              <w:t>Adeguatezza delle modalità di realizzazione dei sopralluoghi tecnici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t>10</w:t>
            </w:r>
          </w:p>
        </w:tc>
      </w:tr>
      <w:tr w:rsidR="00AD0220" w:rsidTr="008472FD">
        <w:trPr>
          <w:trHeight w:val="355"/>
        </w:trPr>
        <w:tc>
          <w:tcPr>
            <w:tcW w:w="6853" w:type="dxa"/>
            <w:tcBorders>
              <w:left w:val="none" w:sz="1" w:space="0" w:color="000000"/>
              <w:bottom w:val="none" w:sz="1" w:space="0" w:color="000000"/>
            </w:tcBorders>
            <w:shd w:val="clear" w:color="auto" w:fill="auto"/>
          </w:tcPr>
          <w:p w:rsidR="00AD0220" w:rsidRDefault="00AD0220" w:rsidP="008472FD">
            <w:pPr>
              <w:autoSpaceDE w:val="0"/>
              <w:jc w:val="both"/>
            </w:pPr>
            <w:r>
              <w:rPr>
                <w:b/>
                <w:bCs/>
                <w:i/>
                <w:iCs/>
              </w:rPr>
              <w:t>Qualità del modello proposto per la redazione dei documenti prescritti dalla normativa in materia</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autoSpaceDE w:val="0"/>
              <w:jc w:val="both"/>
              <w:rPr>
                <w:b/>
                <w:bCs/>
                <w:i/>
                <w:iCs/>
              </w:rPr>
            </w:pPr>
            <w:r>
              <w:lastRenderedPageBreak/>
              <w:t>Tempi di consegna degli elaborati tecnici richiesti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6</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autoSpaceDE w:val="0"/>
              <w:jc w:val="both"/>
              <w:rPr>
                <w:b/>
                <w:bCs/>
                <w:i/>
                <w:iCs/>
              </w:rPr>
            </w:pPr>
            <w:r>
              <w:t>Esaustività della struttura e dei contenuti dei documenti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4</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rPr>
                <w:b/>
                <w:bCs/>
                <w:i/>
                <w:iCs/>
              </w:rPr>
              <w:t>Adeguatezza delle operazioni di svolgimento dei sopralluoghi per le misure microclimatiche</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rPr>
                <w:b/>
                <w:bCs/>
                <w:i/>
                <w:iCs/>
              </w:rPr>
            </w:pP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t>Tempi e modalità di esecuzione</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8</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t>Metodo che l'Impresa intende utilizzare per il trattamento dei dati raccolti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3</w:t>
            </w:r>
          </w:p>
        </w:tc>
      </w:tr>
      <w:tr w:rsidR="00AD0220" w:rsidTr="008472FD">
        <w:trPr>
          <w:trHeight w:val="875"/>
        </w:trPr>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rPr>
                <w:b/>
                <w:bCs/>
                <w:i/>
                <w:iCs/>
              </w:rPr>
              <w:t xml:space="preserve">Adeguatezza delle operazioni di svolgimento dei sopralluoghi per i </w:t>
            </w:r>
            <w:proofErr w:type="spellStart"/>
            <w:r>
              <w:rPr>
                <w:b/>
                <w:bCs/>
                <w:i/>
                <w:iCs/>
              </w:rPr>
              <w:t>campionamneti</w:t>
            </w:r>
            <w:proofErr w:type="spellEnd"/>
            <w:r>
              <w:rPr>
                <w:b/>
                <w:bCs/>
                <w:i/>
                <w:iCs/>
              </w:rPr>
              <w:t xml:space="preserve"> microbiologici dell'aria</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rPr>
                <w:b/>
                <w:bCs/>
                <w:i/>
                <w:iCs/>
              </w:rPr>
            </w:pP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t>Tempi e modalità di esecuzione</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8</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t>Metodo che l'Impresa intende utilizzare per il trattamento dei dati raccolti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3</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rPr>
                <w:b/>
                <w:bCs/>
                <w:i/>
                <w:iCs/>
              </w:rPr>
              <w:t xml:space="preserve">Adeguatezza delle operazioni di svolgimento dei sopralluoghi per i </w:t>
            </w:r>
            <w:proofErr w:type="spellStart"/>
            <w:r>
              <w:rPr>
                <w:b/>
                <w:bCs/>
                <w:i/>
                <w:iCs/>
              </w:rPr>
              <w:t>campinamenti</w:t>
            </w:r>
            <w:proofErr w:type="spellEnd"/>
            <w:r>
              <w:rPr>
                <w:b/>
                <w:bCs/>
                <w:i/>
                <w:iCs/>
              </w:rPr>
              <w:t xml:space="preserve"> microbiologici delle superfici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rPr>
                <w:b/>
                <w:bCs/>
                <w:i/>
                <w:iCs/>
              </w:rPr>
            </w:pP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t>Tempi e modalità di esecuzione</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8</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rPr>
                <w:b/>
                <w:bCs/>
                <w:i/>
                <w:iCs/>
              </w:rPr>
            </w:pPr>
            <w:r>
              <w:t>Metodo che l'Impresa intende utilizzare per il trattamento dei dati raccolti</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3</w:t>
            </w:r>
          </w:p>
        </w:tc>
      </w:tr>
      <w:tr w:rsidR="00AD0220" w:rsidTr="008472FD">
        <w:tc>
          <w:tcPr>
            <w:tcW w:w="6853" w:type="dxa"/>
            <w:tcBorders>
              <w:left w:val="none" w:sz="1" w:space="0" w:color="000000"/>
              <w:bottom w:val="none" w:sz="1" w:space="0" w:color="000000"/>
            </w:tcBorders>
            <w:shd w:val="clear" w:color="auto" w:fill="auto"/>
          </w:tcPr>
          <w:p w:rsidR="00AD0220" w:rsidRDefault="00AD0220" w:rsidP="008472FD">
            <w:pPr>
              <w:pStyle w:val="Contenutotabella"/>
              <w:jc w:val="right"/>
              <w:rPr>
                <w:b/>
                <w:bCs/>
                <w:i/>
                <w:iCs/>
              </w:rPr>
            </w:pPr>
            <w:r>
              <w:rPr>
                <w:b/>
                <w:bCs/>
                <w:i/>
                <w:iCs/>
              </w:rPr>
              <w:t>Totale complessivo punteggio di qualità</w:t>
            </w:r>
          </w:p>
        </w:tc>
        <w:tc>
          <w:tcPr>
            <w:tcW w:w="1622" w:type="dxa"/>
            <w:tcBorders>
              <w:left w:val="none" w:sz="1" w:space="0" w:color="000000"/>
              <w:bottom w:val="none" w:sz="1" w:space="0" w:color="000000"/>
              <w:right w:val="none" w:sz="1" w:space="0" w:color="000000"/>
            </w:tcBorders>
            <w:shd w:val="clear" w:color="auto" w:fill="auto"/>
          </w:tcPr>
          <w:p w:rsidR="00AD0220" w:rsidRDefault="00AD0220" w:rsidP="008472FD">
            <w:pPr>
              <w:pStyle w:val="Contenutotabella"/>
              <w:jc w:val="center"/>
            </w:pPr>
            <w:r>
              <w:rPr>
                <w:b/>
                <w:bCs/>
                <w:i/>
                <w:iCs/>
              </w:rPr>
              <w:t>60</w:t>
            </w:r>
          </w:p>
        </w:tc>
      </w:tr>
    </w:tbl>
    <w:p w:rsidR="00AD0220" w:rsidRDefault="00AD0220" w:rsidP="00AD0220">
      <w:pPr>
        <w:pStyle w:val="ArticoloCorpo"/>
      </w:pPr>
    </w:p>
    <w:p w:rsidR="00AD0220" w:rsidRDefault="00AD0220" w:rsidP="00AD0220">
      <w:pPr>
        <w:pStyle w:val="ArticoloCorpo"/>
      </w:pPr>
      <w:r>
        <w:t>L’aggiudicazione della gara sarà effettuata da un’apposita Commissione nominata dall'ASP di Crotone, a favore del concorrente che otterrà il punteggio complessivo (tecnico ed economico) più vicino a cento (offerta economicamente più vantaggiosa), sulla base della graduatoria ottenuta seguendo i criteri sopra riportati.</w:t>
      </w:r>
    </w:p>
    <w:p w:rsidR="00AD0220" w:rsidRDefault="00AD0220" w:rsidP="00AD0220">
      <w:pPr>
        <w:pStyle w:val="ArticoloCorpo"/>
      </w:pPr>
      <w:r>
        <w:t>Non saranno considerate valide le offerte tecniche che non avranno raggiunto un punteggio minimo complessivo per l'offerta tecnica di almeno 36 punti su 60.</w:t>
      </w:r>
    </w:p>
    <w:p w:rsidR="00AD0220" w:rsidRDefault="00AD0220" w:rsidP="00AD0220">
      <w:pPr>
        <w:pStyle w:val="ArticoloCorpo"/>
      </w:pPr>
      <w:r>
        <w:t>La ASP di Crotone si riserva la facoltà di procedere all'aggiudicazione anche alla presenza di una sola offerta valida.</w:t>
      </w:r>
    </w:p>
    <w:p w:rsidR="00AD0220" w:rsidRDefault="00AD0220"/>
    <w:p w:rsidR="00CB1770" w:rsidRDefault="00CB1770"/>
    <w:p w:rsidR="00CB1770" w:rsidRDefault="00CB1770">
      <w:pPr>
        <w:rPr>
          <w:rFonts w:ascii="Times New Roman" w:hAnsi="Times New Roman" w:cs="Times New Roman"/>
          <w:b/>
        </w:rPr>
      </w:pPr>
      <w:r>
        <w:tab/>
      </w:r>
      <w:r>
        <w:tab/>
      </w:r>
      <w:r>
        <w:tab/>
      </w:r>
      <w:r>
        <w:tab/>
      </w:r>
      <w:r>
        <w:tab/>
      </w:r>
      <w:r>
        <w:tab/>
      </w:r>
      <w:r>
        <w:tab/>
      </w:r>
      <w:r w:rsidRPr="00CB1770">
        <w:rPr>
          <w:rFonts w:ascii="Times New Roman" w:hAnsi="Times New Roman" w:cs="Times New Roman"/>
          <w:b/>
        </w:rPr>
        <w:t>TIMBRO E FIRMA PER ACCETTAZIONE</w:t>
      </w:r>
    </w:p>
    <w:p w:rsidR="00CB1770" w:rsidRPr="00CB1770" w:rsidRDefault="00CB1770">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_______________________________________</w:t>
      </w:r>
    </w:p>
    <w:sectPr w:rsidR="00CB1770" w:rsidRPr="00CB1770" w:rsidSect="00BD292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0EFF" w:usb1="5200FDFF" w:usb2="0A042021" w:usb3="00000000" w:csb0="000001BF" w:csb1="00000000"/>
  </w:font>
  <w:font w:name="Lohit Hindi">
    <w:altName w:val="Times New Roman"/>
    <w:charset w:val="01"/>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Articoli"/>
    <w:lvl w:ilvl="0">
      <w:start w:val="1"/>
      <w:numFmt w:val="decimal"/>
      <w:suff w:val="nothing"/>
      <w:lvlText w:val="Art.%1   -   "/>
      <w:lvlJc w:val="center"/>
      <w:pPr>
        <w:tabs>
          <w:tab w:val="num" w:pos="0"/>
        </w:tabs>
        <w:ind w:left="0" w:firstLine="0"/>
      </w:pPr>
    </w:lvl>
    <w:lvl w:ilvl="1">
      <w:start w:val="1"/>
      <w:numFmt w:val="decimal"/>
      <w:suff w:val="nothing"/>
      <w:lvlText w:val="Art.%2   -   "/>
      <w:lvlJc w:val="center"/>
      <w:pPr>
        <w:tabs>
          <w:tab w:val="num" w:pos="0"/>
        </w:tabs>
        <w:ind w:left="0" w:firstLine="0"/>
      </w:pPr>
    </w:lvl>
    <w:lvl w:ilvl="2">
      <w:start w:val="1"/>
      <w:numFmt w:val="decimal"/>
      <w:suff w:val="nothing"/>
      <w:lvlText w:val="Art.%3   -   "/>
      <w:lvlJc w:val="center"/>
      <w:pPr>
        <w:tabs>
          <w:tab w:val="num" w:pos="0"/>
        </w:tabs>
        <w:ind w:left="0" w:firstLine="0"/>
      </w:pPr>
    </w:lvl>
    <w:lvl w:ilvl="3">
      <w:start w:val="1"/>
      <w:numFmt w:val="decimal"/>
      <w:suff w:val="nothing"/>
      <w:lvlText w:val="Art.%4   -   "/>
      <w:lvlJc w:val="center"/>
      <w:pPr>
        <w:tabs>
          <w:tab w:val="num" w:pos="0"/>
        </w:tabs>
        <w:ind w:left="0" w:firstLine="0"/>
      </w:pPr>
    </w:lvl>
    <w:lvl w:ilvl="4">
      <w:start w:val="1"/>
      <w:numFmt w:val="decimal"/>
      <w:suff w:val="nothing"/>
      <w:lvlText w:val="Art.%5   -   "/>
      <w:lvlJc w:val="center"/>
      <w:pPr>
        <w:tabs>
          <w:tab w:val="num" w:pos="0"/>
        </w:tabs>
        <w:ind w:left="0" w:firstLine="0"/>
      </w:pPr>
    </w:lvl>
    <w:lvl w:ilvl="5">
      <w:start w:val="1"/>
      <w:numFmt w:val="decimal"/>
      <w:suff w:val="nothing"/>
      <w:lvlText w:val="Art.%6   -   "/>
      <w:lvlJc w:val="center"/>
      <w:pPr>
        <w:tabs>
          <w:tab w:val="num" w:pos="0"/>
        </w:tabs>
        <w:ind w:left="0" w:firstLine="0"/>
      </w:pPr>
    </w:lvl>
    <w:lvl w:ilvl="6">
      <w:start w:val="1"/>
      <w:numFmt w:val="decimal"/>
      <w:suff w:val="nothing"/>
      <w:lvlText w:val="Art.%7   -   "/>
      <w:lvlJc w:val="center"/>
      <w:pPr>
        <w:tabs>
          <w:tab w:val="num" w:pos="0"/>
        </w:tabs>
        <w:ind w:left="0" w:firstLine="0"/>
      </w:pPr>
    </w:lvl>
    <w:lvl w:ilvl="7">
      <w:start w:val="1"/>
      <w:numFmt w:val="decimal"/>
      <w:suff w:val="nothing"/>
      <w:lvlText w:val="Art.%8   -   "/>
      <w:lvlJc w:val="center"/>
      <w:pPr>
        <w:tabs>
          <w:tab w:val="num" w:pos="0"/>
        </w:tabs>
        <w:ind w:left="0" w:firstLine="0"/>
      </w:pPr>
    </w:lvl>
    <w:lvl w:ilvl="8">
      <w:start w:val="1"/>
      <w:numFmt w:val="decimal"/>
      <w:suff w:val="nothing"/>
      <w:lvlText w:val="Art.%9   -   "/>
      <w:lvlJc w:val="center"/>
      <w:pPr>
        <w:tabs>
          <w:tab w:val="num" w:pos="0"/>
        </w:tabs>
        <w:ind w:left="0" w:firstLine="0"/>
      </w:pPr>
    </w:lvl>
  </w:abstractNum>
  <w:abstractNum w:abstractNumId="1">
    <w:nsid w:val="00000003"/>
    <w:multiLevelType w:val="multilevel"/>
    <w:tmpl w:val="00000003"/>
    <w:name w:val="Lettere"/>
    <w:lvl w:ilvl="0">
      <w:start w:val="1"/>
      <w:numFmt w:val="upperLetter"/>
      <w:suff w:val="nothing"/>
      <w:lvlText w:val="%1 -   "/>
      <w:lvlJc w:val="left"/>
      <w:pPr>
        <w:tabs>
          <w:tab w:val="num" w:pos="0"/>
        </w:tabs>
        <w:ind w:left="720" w:hanging="360"/>
      </w:pPr>
    </w:lvl>
    <w:lvl w:ilvl="1">
      <w:start w:val="1"/>
      <w:numFmt w:val="decimal"/>
      <w:suff w:val="nothing"/>
      <w:lvlText w:val="%2 .   "/>
      <w:lvlJc w:val="left"/>
      <w:pPr>
        <w:tabs>
          <w:tab w:val="num" w:pos="0"/>
        </w:tabs>
        <w:ind w:left="1080" w:hanging="360"/>
      </w:pPr>
    </w:lvl>
    <w:lvl w:ilvl="2">
      <w:start w:val="1"/>
      <w:numFmt w:val="upperLetter"/>
      <w:suff w:val="nothing"/>
      <w:lvlText w:val="%3 -   "/>
      <w:lvlJc w:val="left"/>
      <w:pPr>
        <w:tabs>
          <w:tab w:val="num" w:pos="0"/>
        </w:tabs>
        <w:ind w:left="1440" w:hanging="360"/>
      </w:pPr>
    </w:lvl>
    <w:lvl w:ilvl="3">
      <w:start w:val="1"/>
      <w:numFmt w:val="upperLetter"/>
      <w:suff w:val="nothing"/>
      <w:lvlText w:val="%4 -   "/>
      <w:lvlJc w:val="left"/>
      <w:pPr>
        <w:tabs>
          <w:tab w:val="num" w:pos="0"/>
        </w:tabs>
        <w:ind w:left="1800" w:hanging="360"/>
      </w:pPr>
    </w:lvl>
    <w:lvl w:ilvl="4">
      <w:start w:val="1"/>
      <w:numFmt w:val="upperLetter"/>
      <w:suff w:val="nothing"/>
      <w:lvlText w:val="%5 -   "/>
      <w:lvlJc w:val="left"/>
      <w:pPr>
        <w:tabs>
          <w:tab w:val="num" w:pos="0"/>
        </w:tabs>
        <w:ind w:left="2160" w:hanging="360"/>
      </w:pPr>
    </w:lvl>
    <w:lvl w:ilvl="5">
      <w:start w:val="1"/>
      <w:numFmt w:val="upperLetter"/>
      <w:suff w:val="nothing"/>
      <w:lvlText w:val="%6 -   "/>
      <w:lvlJc w:val="left"/>
      <w:pPr>
        <w:tabs>
          <w:tab w:val="num" w:pos="0"/>
        </w:tabs>
        <w:ind w:left="2520" w:hanging="360"/>
      </w:pPr>
    </w:lvl>
    <w:lvl w:ilvl="6">
      <w:start w:val="1"/>
      <w:numFmt w:val="upperLetter"/>
      <w:suff w:val="nothing"/>
      <w:lvlText w:val="%7 -   "/>
      <w:lvlJc w:val="left"/>
      <w:pPr>
        <w:tabs>
          <w:tab w:val="num" w:pos="0"/>
        </w:tabs>
        <w:ind w:left="2880" w:hanging="360"/>
      </w:pPr>
    </w:lvl>
    <w:lvl w:ilvl="7">
      <w:start w:val="1"/>
      <w:numFmt w:val="upperLetter"/>
      <w:suff w:val="nothing"/>
      <w:lvlText w:val="%8 -   "/>
      <w:lvlJc w:val="left"/>
      <w:pPr>
        <w:tabs>
          <w:tab w:val="num" w:pos="0"/>
        </w:tabs>
        <w:ind w:left="3240" w:hanging="360"/>
      </w:pPr>
    </w:lvl>
    <w:lvl w:ilvl="8">
      <w:start w:val="1"/>
      <w:numFmt w:val="upperLetter"/>
      <w:suff w:val="nothing"/>
      <w:lvlText w:val="%9 -   "/>
      <w:lvlJc w:val="left"/>
      <w:pPr>
        <w:tabs>
          <w:tab w:val="num" w:pos="0"/>
        </w:tabs>
        <w:ind w:left="3600" w:hanging="360"/>
      </w:pPr>
    </w:lvl>
  </w:abstractNum>
  <w:abstractNum w:abstractNumId="2">
    <w:nsid w:val="00000007"/>
    <w:multiLevelType w:val="multilevel"/>
    <w:tmpl w:val="00000007"/>
    <w:lvl w:ilvl="0">
      <w:start w:val="1"/>
      <w:numFmt w:val="bullet"/>
      <w:lvlText w:val=""/>
      <w:lvlJc w:val="left"/>
      <w:pPr>
        <w:tabs>
          <w:tab w:val="num" w:pos="1084"/>
        </w:tabs>
        <w:ind w:left="1084" w:hanging="360"/>
      </w:pPr>
      <w:rPr>
        <w:rFonts w:ascii="Symbol" w:hAnsi="Symbol" w:cs="OpenSymbol"/>
      </w:rPr>
    </w:lvl>
    <w:lvl w:ilvl="1">
      <w:start w:val="1"/>
      <w:numFmt w:val="bullet"/>
      <w:lvlText w:val="◦"/>
      <w:lvlJc w:val="left"/>
      <w:pPr>
        <w:tabs>
          <w:tab w:val="num" w:pos="1444"/>
        </w:tabs>
        <w:ind w:left="1444" w:hanging="360"/>
      </w:pPr>
      <w:rPr>
        <w:rFonts w:ascii="OpenSymbol" w:hAnsi="OpenSymbol" w:cs="OpenSymbol"/>
      </w:rPr>
    </w:lvl>
    <w:lvl w:ilvl="2">
      <w:start w:val="1"/>
      <w:numFmt w:val="bullet"/>
      <w:lvlText w:val="▪"/>
      <w:lvlJc w:val="left"/>
      <w:pPr>
        <w:tabs>
          <w:tab w:val="num" w:pos="1804"/>
        </w:tabs>
        <w:ind w:left="1804" w:hanging="360"/>
      </w:pPr>
      <w:rPr>
        <w:rFonts w:ascii="OpenSymbol" w:hAnsi="OpenSymbol" w:cs="OpenSymbol"/>
      </w:rPr>
    </w:lvl>
    <w:lvl w:ilvl="3">
      <w:start w:val="1"/>
      <w:numFmt w:val="bullet"/>
      <w:lvlText w:val=""/>
      <w:lvlJc w:val="left"/>
      <w:pPr>
        <w:tabs>
          <w:tab w:val="num" w:pos="2164"/>
        </w:tabs>
        <w:ind w:left="2164" w:hanging="360"/>
      </w:pPr>
      <w:rPr>
        <w:rFonts w:ascii="Symbol" w:hAnsi="Symbol" w:cs="OpenSymbol"/>
      </w:rPr>
    </w:lvl>
    <w:lvl w:ilvl="4">
      <w:start w:val="1"/>
      <w:numFmt w:val="bullet"/>
      <w:lvlText w:val="◦"/>
      <w:lvlJc w:val="left"/>
      <w:pPr>
        <w:tabs>
          <w:tab w:val="num" w:pos="2524"/>
        </w:tabs>
        <w:ind w:left="2524" w:hanging="360"/>
      </w:pPr>
      <w:rPr>
        <w:rFonts w:ascii="OpenSymbol" w:hAnsi="OpenSymbol" w:cs="OpenSymbol"/>
      </w:rPr>
    </w:lvl>
    <w:lvl w:ilvl="5">
      <w:start w:val="1"/>
      <w:numFmt w:val="bullet"/>
      <w:lvlText w:val="▪"/>
      <w:lvlJc w:val="left"/>
      <w:pPr>
        <w:tabs>
          <w:tab w:val="num" w:pos="2884"/>
        </w:tabs>
        <w:ind w:left="2884" w:hanging="360"/>
      </w:pPr>
      <w:rPr>
        <w:rFonts w:ascii="OpenSymbol" w:hAnsi="OpenSymbol" w:cs="OpenSymbol"/>
      </w:rPr>
    </w:lvl>
    <w:lvl w:ilvl="6">
      <w:start w:val="1"/>
      <w:numFmt w:val="bullet"/>
      <w:lvlText w:val=""/>
      <w:lvlJc w:val="left"/>
      <w:pPr>
        <w:tabs>
          <w:tab w:val="num" w:pos="3244"/>
        </w:tabs>
        <w:ind w:left="3244" w:hanging="360"/>
      </w:pPr>
      <w:rPr>
        <w:rFonts w:ascii="Symbol" w:hAnsi="Symbol" w:cs="OpenSymbol"/>
      </w:rPr>
    </w:lvl>
    <w:lvl w:ilvl="7">
      <w:start w:val="1"/>
      <w:numFmt w:val="bullet"/>
      <w:lvlText w:val="◦"/>
      <w:lvlJc w:val="left"/>
      <w:pPr>
        <w:tabs>
          <w:tab w:val="num" w:pos="3604"/>
        </w:tabs>
        <w:ind w:left="3604" w:hanging="360"/>
      </w:pPr>
      <w:rPr>
        <w:rFonts w:ascii="OpenSymbol" w:hAnsi="OpenSymbol" w:cs="OpenSymbol"/>
      </w:rPr>
    </w:lvl>
    <w:lvl w:ilvl="8">
      <w:start w:val="1"/>
      <w:numFmt w:val="bullet"/>
      <w:lvlText w:val="▪"/>
      <w:lvlJc w:val="left"/>
      <w:pPr>
        <w:tabs>
          <w:tab w:val="num" w:pos="3964"/>
        </w:tabs>
        <w:ind w:left="3964" w:hanging="360"/>
      </w:pPr>
      <w:rPr>
        <w:rFonts w:ascii="OpenSymbol" w:hAnsi="OpenSymbol" w:cs="OpenSymbol"/>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38689A"/>
    <w:rsid w:val="0038689A"/>
    <w:rsid w:val="00684C13"/>
    <w:rsid w:val="00746D3C"/>
    <w:rsid w:val="00AD0220"/>
    <w:rsid w:val="00BA72C7"/>
    <w:rsid w:val="00BD2928"/>
    <w:rsid w:val="00CB1770"/>
    <w:rsid w:val="00DE33E2"/>
    <w:rsid w:val="00DF7F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292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868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8689A"/>
    <w:rPr>
      <w:rFonts w:ascii="Tahoma" w:hAnsi="Tahoma" w:cs="Tahoma"/>
      <w:sz w:val="16"/>
      <w:szCs w:val="16"/>
    </w:rPr>
  </w:style>
  <w:style w:type="paragraph" w:styleId="Corpodeltesto">
    <w:name w:val="Body Text"/>
    <w:basedOn w:val="Normale"/>
    <w:link w:val="CorpodeltestoCarattere"/>
    <w:rsid w:val="0038689A"/>
    <w:pPr>
      <w:widowControl w:val="0"/>
      <w:suppressAutoHyphens/>
      <w:spacing w:after="120" w:line="240" w:lineRule="auto"/>
    </w:pPr>
    <w:rPr>
      <w:rFonts w:ascii="Times New Roman" w:eastAsia="DejaVu Sans" w:hAnsi="Times New Roman" w:cs="Lohit Hindi"/>
      <w:sz w:val="24"/>
      <w:szCs w:val="24"/>
      <w:lang w:eastAsia="zh-CN" w:bidi="hi-IN"/>
    </w:rPr>
  </w:style>
  <w:style w:type="character" w:customStyle="1" w:styleId="CorpodeltestoCarattere">
    <w:name w:val="Corpo del testo Carattere"/>
    <w:basedOn w:val="Carpredefinitoparagrafo"/>
    <w:link w:val="Corpodeltesto"/>
    <w:rsid w:val="0038689A"/>
    <w:rPr>
      <w:rFonts w:ascii="Times New Roman" w:eastAsia="DejaVu Sans" w:hAnsi="Times New Roman" w:cs="Lohit Hindi"/>
      <w:sz w:val="24"/>
      <w:szCs w:val="24"/>
      <w:lang w:eastAsia="zh-CN" w:bidi="hi-IN"/>
    </w:rPr>
  </w:style>
  <w:style w:type="paragraph" w:customStyle="1" w:styleId="Articolo">
    <w:name w:val="Articolo"/>
    <w:basedOn w:val="Normale"/>
    <w:next w:val="ArticoloCorpo"/>
    <w:autoRedefine/>
    <w:rsid w:val="0038689A"/>
    <w:pPr>
      <w:widowControl w:val="0"/>
      <w:tabs>
        <w:tab w:val="num" w:pos="0"/>
      </w:tabs>
      <w:suppressAutoHyphens/>
      <w:spacing w:before="227" w:after="170" w:line="240" w:lineRule="auto"/>
      <w:ind w:left="720" w:hanging="360"/>
      <w:jc w:val="center"/>
    </w:pPr>
    <w:rPr>
      <w:rFonts w:ascii="Times New Roman" w:eastAsia="DejaVu Sans" w:hAnsi="Times New Roman" w:cs="Lohit Hindi"/>
      <w:b/>
      <w:i/>
      <w:sz w:val="24"/>
      <w:szCs w:val="24"/>
      <w:lang w:eastAsia="zh-CN" w:bidi="hi-IN"/>
    </w:rPr>
  </w:style>
  <w:style w:type="paragraph" w:customStyle="1" w:styleId="ArticoloCorpo">
    <w:name w:val="ArticoloCorpo"/>
    <w:basedOn w:val="Corpodeltesto"/>
    <w:autoRedefine/>
    <w:rsid w:val="0038689A"/>
    <w:pPr>
      <w:spacing w:before="113" w:after="0" w:line="360" w:lineRule="auto"/>
      <w:ind w:firstLine="283"/>
      <w:jc w:val="both"/>
    </w:pPr>
  </w:style>
  <w:style w:type="paragraph" w:customStyle="1" w:styleId="Contenutotabella">
    <w:name w:val="Contenuto tabella"/>
    <w:basedOn w:val="Normale"/>
    <w:rsid w:val="0038689A"/>
    <w:pPr>
      <w:widowControl w:val="0"/>
      <w:suppressLineNumbers/>
      <w:suppressAutoHyphens/>
      <w:spacing w:after="0" w:line="240" w:lineRule="auto"/>
    </w:pPr>
    <w:rPr>
      <w:rFonts w:ascii="Times New Roman" w:eastAsia="DejaVu Sans" w:hAnsi="Times New Roman" w:cs="Lohit Hindi"/>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1A861-5BBC-47F5-932D-5F543582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1391</Words>
  <Characters>7930</Characters>
  <Application>Microsoft Office Word</Application>
  <DocSecurity>0</DocSecurity>
  <Lines>66</Lines>
  <Paragraphs>18</Paragraphs>
  <ScaleCrop>false</ScaleCrop>
  <Company/>
  <LinksUpToDate>false</LinksUpToDate>
  <CharactersWithSpaces>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6</cp:revision>
  <cp:lastPrinted>2013-12-23T15:45:00Z</cp:lastPrinted>
  <dcterms:created xsi:type="dcterms:W3CDTF">2013-12-18T16:12:00Z</dcterms:created>
  <dcterms:modified xsi:type="dcterms:W3CDTF">2013-12-23T15:48:00Z</dcterms:modified>
</cp:coreProperties>
</file>